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332</w:t>
      </w:r>
    </w:p>
    <w:p>
      <w:r>
        <w:t>Bundesgericht (BGE), 2011-01-01, FR</w:t>
      </w:r>
    </w:p>
    <w:p>
      <w:r>
        <w:rPr>
          <w:b/>
        </w:rPr>
        <w:t xml:space="preserve">Quelle: </w:t>
      </w:r>
      <w:r>
        <w:t>https://mcp.opencaselaw.ch/entscheid/bge_137 III 332</w:t>
      </w:r>
    </w:p>
    <w:p>
      <w:r>
        <w:t>FR: ATF 137 III 332</w:t>
      </w:r>
    </w:p>
    <w:p>
      <w:r>
        <w:t>IT: DTF 137 III 332</w:t>
      </w:r>
    </w:p>
    <w:p>
      <w:pPr>
        <w:pStyle w:val="Heading2"/>
      </w:pPr>
      <w:r>
        <w:t>Regeste</w:t>
      </w:r>
    </w:p>
    <w:p>
      <w:r>
        <w:t>Regeste Art. 122 lit. c BGG und Art. 13 BG-KKE; Gesuch um Revision eines Entscheids des Bundesgerichts, der die Rückführung eines Kindes anordnet. Die Revision ist ein ausserordentliches Rechtsmittel; gestattet ein anderer ordentlicher Rechtsweg, einen Zustand mit der EMRK wieder in Übereinstimmung zu bringen, muss dieser gewählt werden. Auf dem Gebiet der internationalen Kindesentführung muss eine dauernde Änderung der Verhältnisse seit dem Rückführungsentscheid im Rahmen eines Gesuchs um Änderung des Entscheids gemäss Art. 13 BG-KKE geltend gemacht werden, so dass der Weg der Revision nicht offensteht (E. 2.4).</w:t>
      </w:r>
    </w:p>
    <w:p>
      <w:pPr>
        <w:pStyle w:val="Heading2"/>
      </w:pPr>
      <w:r>
        <w:t>Erwägungen</w:t>
      </w:r>
    </w:p>
    <w:p>
      <w:r>
        <w:rPr>
          <w:b/>
        </w:rPr>
        <w:t>E. 2</w:t>
      </w:r>
    </w:p>
    <w:p>
      <w:r>
        <w:t>La Cour européenne n'est pas habilitée à annuler ou réformer les arrêts des tribunaux étatiques et ne peut que déclarer qu'ils sont contraires à la CEDH et condamner l'État fautif à indemniser le requérant ( ATF 125 III 185 consid. 2; SPÜHLER/DOLGE/VOCK, Bundesgerichtsgesetz, 2006, n° 1 ad art. 122 LTF ; ESCHER, Revision und Erläuterung, in Prozessieren vor Bundesgericht, 1998, n. 8.23). L' art. 122 LTF - tout comme l' art. 139a OJ - a donc pour but d'assurer l'efficacité des décisions de la Cour européenne en Suisse. Il permet ainsi, par la voie de la révision, la correction des arrêts du Tribunal fédéral et leur modification conformément aux décisions des autorités européennes (SPÜHLER/DOLGE/VOCK, op. cit., n° 1 ad art. 122 LTF ; FERRARI, in Commentaire de la LTF, 2009, n° 1 ad art. 122 LTF ).</w:t>
      </w:r>
    </w:p>
    <w:p>
      <w:r>
        <w:rPr>
          <w:b/>
        </w:rPr>
        <w:t>E. 2.1</w:t>
      </w:r>
    </w:p>
    <w:p>
      <w:r>
        <w:t>En vertu de l' art. 122 LTF , la révision d'un arrêt du Tribunal fédéral pour violation de la CEDH est soumise à trois conditions: la Cour européenne a constaté, par un arrêt définitif, une violation de la CEDH ou de ses protocoles (let. a); une indemnité n'est pas de nature à remédier aux effets de la violation (let. b) et la révision est nécessaire pour remédier aux effets de la violation (let. c).</w:t>
      </w:r>
    </w:p>
    <w:p>
      <w:r>
        <w:rPr>
          <w:b/>
        </w:rPr>
        <w:t>E. 2.2</w:t>
      </w:r>
    </w:p>
    <w:p>
      <w:r>
        <w:t>Dans le dispositif de son arrêt, la Cour européenne a jugé que "dans l'éventualité de la mise à exécution de l'arrêt du Tribunal fédéral BGE 137 III 332 S. 335 du 16 août 2007, il y aurait violation de l' art. 8 CEDH dans le chef des deux requérants". Il ressort des motifs de l'arrêt que la Cour européenne a admis que le retour forcé de l'enfant avec sa mère ordonné par le Tribunal fédéral reposait sur une base légale suffisante, avait pour but légitime de protéger les droits et libertés de l'enfant et de son père et entrait encore, lors de son prononcé, dans la marge d'appréciation des autorités nationales en la matière. Toutefois, tenant compte des développements qui se sont produits depuis lors, se plaçant au moment de l'exécution de la mesure litigieuse et examinant la situation des requérants, elle a constaté qu'un retour de l'enfant en Israël ne saurait être considéré comme bénéfique pour celui-ci dès lors qu'il vivait et était intégré en Suisse depuis cinq ans et qu'il était, par ailleurs, permis de douter des capacités éducatives du père, au vu des allégués des requérants concernant les modifications de la situation familiale et les conditions d'existence de celui-ci. Quant à la mère, il a été relevé que l'on ne pouvait exclure que son retour en Israël l'exposât à des poursuites pénales pouvant donner lieu à une peine d'emprisonnement alors qu'elle représentait la seule personne de référence pour l'enfant. La Cour européenne a ainsi conclu que l'exécution de la décision ordonnant le retour constituerait une ingérence disproportionnée dans le droit au respect de la vie familiale des requérants et, partant, qu'il y aurait violation de l' art. 8 CEDH dans le chef des deux requérants.</w:t>
      </w:r>
    </w:p>
    <w:p>
      <w:r>
        <w:rPr>
          <w:b/>
        </w:rPr>
        <w:t>E. 2.3</w:t>
      </w:r>
    </w:p>
    <w:p>
      <w:r>
        <w:t>En l'espèce, on peut se demander si la condition de l' art. 122 let. a LTF est donnée dès lors que la Cour européenne n'a pas remis en cause le bien-fondé de l'arrêt du Tribunal fédéral du 16 août 2007 au moment où il a été prononcé, mais a considéré que l'exécution de cette décision constituerait une violation de l' art. 8 CEDH . La question peut cependant rester indécise dans la mesure où une autre condition cumulative de l' art. 122 LTF (FERRARI, op. cit., n° 5 ad art. 122 LTF ) n'est pas réunie.</w:t>
      </w:r>
    </w:p>
    <w:p>
      <w:r>
        <w:rPr>
          <w:b/>
        </w:rPr>
        <w:t>E. 2.4</w:t>
      </w:r>
    </w:p>
    <w:p>
      <w:r>
        <w:t>En vertu de l' art. 122 let . c LTF, la révision doit être nécessaire pour remédier aux effets de la violation constatée. Il incombe en effet aux États contractants d'apprécier la manière la plus adéquate de rétablir une situation conforme à la CEDH et d'assurer une protection effective des garanties qui y sont ancrées. La constatation d'une violation de la Convention ne commande pas, à elle seule, la révision de la décision portée devant la Cour européenne. Cela découle BGE 137 III 332 S. 336 de la nature même de la révision qui est un moyen de droit extraordinaire, en ce sens que s'il existe une autre voie ordinaire qui permettrait une réparation, celle-ci doit être choisie en priorité ( ATF 137 I 86 consid. 3; arrêt 1F_1/2007 du 30 juillet 2007 consid. 3.2, in PJA 2008 p. 228 et les références citées). Or, dans le système mis en place par la loi fédérale du 21 décembre 2007 sur l'enlèvement international d'enfants et les Conventions de La Haye sur la protection des enfants et des adultes (LF-EEA; RS 211.222.32), une modification durable des circonstances depuis la décision de renvoi telle que, notamment, l'intégration de l'enfant dans son nouveau milieu et l'évolution de la situation familiale d'un parent - à savoir les éléments dont la Cour européenne a expressément tenu compte pour conclure qu'une exécution de l'arrêt du Tribunal fédéral violerait la CEDH - doit être invoquée dans le cadre d'une demande de modification de la décision conformément à l' art. 13 LF-EEA (Message du 28 février 2007 concernant la mise en oeuvre des conventions sur l'enlèvement international d'enfants ainsi que l'approbation et la mise en oeuvre des conventions de La Haye en matière de protection des enfants et des adultes, FF 2007 2468 s. ch. 6.12). Il s'ensuit qu'il existe, en l'espèce, une voie ordinaire permettant aux requérants d'obtenir une situation conforme à l'arrêt de la Cour européenne de sorte que la condition à la révision de l'arrêt 5A_285/2007 du 16 août 2007 au sens de l' art. 122 let . c LTF n'est pas réalisée. Il n'y a donc pas lieu d'entrer en matière sur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